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9"/>
        <w:jc w:val="right"/>
        <w:keepLines/>
        <w:keepNext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Приложение №1</w:t>
      </w:r>
      <w:r>
        <w:rPr>
          <w:rFonts w:eastAsia="Calibri"/>
          <w:b/>
          <w:bCs/>
          <w:sz w:val="20"/>
          <w:szCs w:val="20"/>
        </w:rPr>
      </w:r>
    </w:p>
    <w:p>
      <w:pPr>
        <w:pStyle w:val="709"/>
        <w:jc w:val="right"/>
        <w:keepLines/>
        <w:keepNext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к Техническим требованиям</w:t>
      </w:r>
      <w:r>
        <w:rPr>
          <w:rFonts w:eastAsia="Calibri"/>
          <w:b/>
          <w:bCs/>
          <w:sz w:val="20"/>
          <w:szCs w:val="20"/>
        </w:rPr>
      </w:r>
    </w:p>
    <w:p>
      <w:pPr>
        <w:pStyle w:val="709"/>
        <w:jc w:val="both"/>
        <w:keepLines/>
        <w:keepNext/>
        <w:spacing w:before="0" w:after="120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</w:r>
      <w:r>
        <w:rPr>
          <w:rFonts w:eastAsia="Calibri"/>
          <w:b/>
          <w:bCs/>
          <w:sz w:val="22"/>
          <w:szCs w:val="22"/>
        </w:rPr>
      </w:r>
    </w:p>
    <w:p>
      <w:pPr>
        <w:pStyle w:val="709"/>
        <w:jc w:val="center"/>
        <w:keepLines/>
        <w:keepNext/>
        <w:spacing w:before="0" w:after="120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Требования к Участнику закупки</w:t>
      </w:r>
      <w:r>
        <w:rPr>
          <w:rFonts w:eastAsia="Calibri"/>
          <w:b/>
          <w:bCs/>
          <w:sz w:val="24"/>
          <w:szCs w:val="24"/>
        </w:rPr>
      </w:r>
    </w:p>
    <w:p>
      <w:pPr>
        <w:pStyle w:val="709"/>
        <w:jc w:val="center"/>
      </w:pPr>
      <w:r>
        <w:rPr>
          <w:rFonts w:eastAsia="Calibri"/>
          <w:b/>
          <w:sz w:val="26"/>
          <w:szCs w:val="26"/>
        </w:rPr>
        <w:t xml:space="preserve">«</w:t>
      </w:r>
      <w:r>
        <w:rPr>
          <w:rFonts w:eastAsia="Calibri"/>
          <w:b/>
          <w:bCs/>
          <w:sz w:val="26"/>
          <w:szCs w:val="26"/>
        </w:rPr>
        <w:t xml:space="preserve">ОКПД2 71.20.12.000 Оказание услуг по продлению срока безопасной эксплуатации технологических трубопроводов, для нужд СП, расположенных в Хабаровском крае, Приморском крае, Амурской области и Республике Саха (Якутия)</w:t>
      </w:r>
      <w:r>
        <w:rPr>
          <w:rFonts w:eastAsia="Calibri"/>
          <w:b/>
          <w:sz w:val="26"/>
          <w:szCs w:val="26"/>
        </w:rPr>
        <w:t xml:space="preserve">»</w:t>
      </w:r>
      <w:r/>
    </w:p>
    <w:p>
      <w:pPr>
        <w:pStyle w:val="709"/>
        <w:jc w:val="center"/>
      </w:pPr>
      <w:r/>
      <w:r/>
    </w:p>
    <w:p>
      <w:pPr>
        <w:pStyle w:val="709"/>
        <w:jc w:val="center"/>
      </w:pPr>
      <w:r>
        <w:rPr>
          <w:rFonts w:eastAsia="Calibri"/>
          <w:b/>
          <w:sz w:val="26"/>
          <w:szCs w:val="26"/>
        </w:rPr>
        <w:t xml:space="preserve">Лот №41005029-ЭКСП ПРОД-2026-ДГК</w:t>
      </w:r>
      <w:r/>
    </w:p>
    <w:p>
      <w:pPr>
        <w:pStyle w:val="709"/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pStyle w:val="795"/>
        <w:numPr>
          <w:ilvl w:val="0"/>
          <w:numId w:val="1"/>
        </w:numPr>
        <w:contextualSpacing/>
        <w:ind w:left="0" w:firstLine="709"/>
        <w:keepNext/>
        <w:spacing w:before="60" w:after="240"/>
        <w:tabs>
          <w:tab w:val="clear" w:pos="708" w:leader="none"/>
          <w:tab w:val="left" w:pos="992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Требования к участникам</w:t>
      </w:r>
      <w:r>
        <w:rPr>
          <w:b/>
          <w:bCs/>
          <w:sz w:val="22"/>
          <w:szCs w:val="22"/>
        </w:rPr>
      </w:r>
    </w:p>
    <w:p>
      <w:pPr>
        <w:pStyle w:val="795"/>
        <w:contextualSpacing/>
        <w:ind w:left="0" w:firstLine="709"/>
        <w:keepNext/>
        <w:spacing w:before="60" w:after="120"/>
        <w:tabs>
          <w:tab w:val="clear" w:pos="708" w:leader="none"/>
          <w:tab w:val="left" w:pos="992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</w:t>
      </w:r>
      <w:r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</w:rPr>
        <w:t xml:space="preserve">1. Перечень специальных требований</w:t>
      </w:r>
      <w:r>
        <w:rPr>
          <w:b/>
          <w:bCs/>
          <w:sz w:val="22"/>
          <w:szCs w:val="22"/>
        </w:rPr>
      </w:r>
    </w:p>
    <w:tbl>
      <w:tblPr>
        <w:tblW w:w="10210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59"/>
        <w:gridCol w:w="4954"/>
        <w:gridCol w:w="4697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9" w:type="dxa"/>
            <w:vAlign w:val="center"/>
            <w:textDirection w:val="lrTb"/>
            <w:noWrap w:val="false"/>
          </w:tcPr>
          <w:p>
            <w:pPr>
              <w:pStyle w:val="709"/>
              <w:jc w:val="center"/>
              <w:keepNext/>
              <w:spacing w:before="60" w:after="6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4" w:type="dxa"/>
            <w:vAlign w:val="center"/>
            <w:textDirection w:val="lrTb"/>
            <w:noWrap w:val="false"/>
          </w:tcPr>
          <w:p>
            <w:pPr>
              <w:pStyle w:val="709"/>
              <w:jc w:val="center"/>
              <w:keepNext/>
              <w:spacing w:before="60" w:after="6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Участникам</w:t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709"/>
              <w:jc w:val="both"/>
              <w:keepNext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97" w:type="dxa"/>
            <w:vAlign w:val="center"/>
            <w:textDirection w:val="lrTb"/>
            <w:noWrap w:val="false"/>
          </w:tcPr>
          <w:p>
            <w:pPr>
              <w:pStyle w:val="709"/>
              <w:jc w:val="center"/>
              <w:keepNext/>
              <w:spacing w:before="60" w:after="60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8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9" w:type="dxa"/>
            <w:textDirection w:val="lrTb"/>
            <w:noWrap w:val="false"/>
          </w:tcPr>
          <w:p>
            <w:pPr>
              <w:pStyle w:val="795"/>
              <w:ind w:left="360" w:firstLine="0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4" w:type="dxa"/>
            <w:textDirection w:val="lrTb"/>
            <w:noWrap w:val="false"/>
          </w:tcPr>
          <w:p>
            <w:pPr>
              <w:pStyle w:val="709"/>
              <w:jc w:val="both"/>
              <w:widowControl w:val="off"/>
              <w:tabs>
                <w:tab w:val="left" w:pos="376" w:leader="none"/>
                <w:tab w:val="clear" w:pos="708" w:leader="none"/>
              </w:tabs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Обязательные требования (неисполнение которых повлечёт отклонение заявки)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Участник закупки должен иметь: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1. Наличие лицензии Ростехнадзора на осуществление деятельности по проведению экспертизы промышленной безопасности технических устройств, зданий и сооружений на опасном производственном объекте, предназначенных дл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я осуществления технологических процессов, хранения сырья или продукции, перемещения людей и грузов, локализации и ликвидации последствий аварий (переоформленную в соответствие с требованием статья 31, пункт 6.1 Федерального закона от 14.10.2014 № 307-ФЗ);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Документ подтверждающий требование ч. 2, ст. 13 Федерального закона от 20.06.1997 № 116-ФЗ, п.15 ФНиП в области промышленной безопасности «Правила проведения экспертизы промышленной безопасности», утвержденных приказом Ростехнадзора от 20.10.2020 №420.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95"/>
              <w:ind w:left="0" w:firstLine="0"/>
              <w:jc w:val="both"/>
              <w:widowControl w:val="off"/>
              <w:rPr>
                <w:i w:val="0"/>
                <w:iCs w:val="0"/>
                <w:color w:val="auto"/>
                <w:highlight w:val="white"/>
              </w:rPr>
            </w:pPr>
            <w:r>
              <w:rPr>
                <w:i w:val="0"/>
                <w:iCs w:val="0"/>
                <w:color w:val="auto"/>
                <w:highlight w:val="white"/>
              </w:rPr>
            </w:r>
            <w:r>
              <w:rPr>
                <w:i w:val="0"/>
                <w:iCs w:val="0"/>
                <w:color w:val="auto"/>
                <w:highlight w:val="white"/>
              </w:rPr>
            </w:r>
          </w:p>
          <w:p>
            <w:pPr>
              <w:pStyle w:val="709"/>
              <w:jc w:val="both"/>
              <w:widowControl w:val="off"/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2. Наличие аттестованной лаборатории неразрушающего контроля (ЛНК) в соответствии с Правилами аттестации и основными требованиями к лабораториям неразрушающего контроля (СДАНК-01-2020, в соответствии с </w:t>
            </w:r>
            <w:r>
              <w:rPr>
                <w:rStyle w:val="761"/>
                <w:i w:val="0"/>
                <w:iCs w:val="0"/>
                <w:color w:val="000000" w:themeColor="text1"/>
                <w:sz w:val="24"/>
                <w:szCs w:val="24"/>
                <w:highlight w:val="white"/>
                <w:shd w:val="clear" w:color="auto" w:fill="ffffff"/>
              </w:rPr>
              <w:t xml:space="preserve">ПБ 03-440-02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) с видами контроля: ультразвуковой, визуально-измерительный, радиационный, капиллярный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магнитопорошковый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,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акустикоэмиссионный,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оптический контроль (ОК) и объектами контроля: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«Технологические трубопроводы, трубопроводы пара и горячей воды» (8.12);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«Здания и сооружения (строительные объекты)»: «металлические конструкции» (11.1), «бетонные и железобетонные конструкции» (11.2). Экспертная организация вправе привлекать к проведению экспертизы лаборатории других организаций на условиях субподряда.</w:t>
            </w:r>
            <w:r/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Документ, подтверждающий требование: п.9 ФНиП «Основные требования к проведению неразрушающего контроля технических устройств, зданий и сооружений на опасных производственных объектах», утвержденных приказом Ростехнадзора от 01.12.2020 №478.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95"/>
              <w:ind w:left="0" w:firstLine="0"/>
              <w:jc w:val="both"/>
              <w:widowControl w:val="off"/>
              <w:rPr>
                <w:i w:val="0"/>
                <w:iCs w:val="0"/>
                <w:color w:val="auto"/>
                <w:highlight w:val="white"/>
              </w:rPr>
            </w:pPr>
            <w:r>
              <w:rPr>
                <w:i w:val="0"/>
                <w:iCs w:val="0"/>
                <w:color w:val="auto"/>
                <w:highlight w:val="white"/>
              </w:rPr>
            </w:r>
            <w:r>
              <w:rPr>
                <w:i w:val="0"/>
                <w:iCs w:val="0"/>
                <w:color w:val="auto"/>
                <w:highlight w:val="white"/>
              </w:rPr>
            </w:r>
          </w:p>
          <w:p>
            <w:pPr>
              <w:pStyle w:val="795"/>
              <w:ind w:left="0" w:firstLine="0"/>
              <w:jc w:val="both"/>
              <w:widowControl w:val="off"/>
              <w:rPr>
                <w:i w:val="0"/>
                <w:iCs w:val="0"/>
                <w:color w:val="auto"/>
                <w:highlight w:val="white"/>
              </w:rPr>
            </w:pPr>
            <w:r>
              <w:rPr>
                <w:i w:val="0"/>
                <w:iCs w:val="0"/>
                <w:color w:val="auto"/>
                <w:highlight w:val="white"/>
              </w:rPr>
            </w:r>
            <w:r>
              <w:rPr>
                <w:i w:val="0"/>
                <w:iCs w:val="0"/>
                <w:color w:val="auto"/>
                <w:highlight w:val="white"/>
              </w:rPr>
            </w:r>
          </w:p>
          <w:p>
            <w:pPr>
              <w:pStyle w:val="795"/>
              <w:ind w:left="0" w:firstLine="0"/>
              <w:jc w:val="both"/>
              <w:widowControl w:val="off"/>
              <w:rPr>
                <w:i w:val="0"/>
                <w:iCs w:val="0"/>
                <w:color w:val="auto"/>
                <w:highlight w:val="white"/>
              </w:rPr>
            </w:pPr>
            <w:r>
              <w:rPr>
                <w:i w:val="0"/>
                <w:iCs w:val="0"/>
                <w:color w:val="auto"/>
                <w:highlight w:val="white"/>
              </w:rPr>
            </w:r>
            <w:r>
              <w:rPr>
                <w:i w:val="0"/>
                <w:iCs w:val="0"/>
                <w:color w:val="auto"/>
                <w:highlight w:val="white"/>
              </w:rPr>
            </w:r>
          </w:p>
          <w:p>
            <w:pPr>
              <w:pStyle w:val="795"/>
              <w:ind w:left="0" w:firstLine="0"/>
              <w:jc w:val="both"/>
              <w:widowControl w:val="off"/>
              <w:rPr>
                <w:i w:val="0"/>
                <w:iCs w:val="0"/>
                <w:color w:val="auto"/>
                <w:highlight w:val="white"/>
              </w:rPr>
            </w:pPr>
            <w:r>
              <w:rPr>
                <w:i w:val="0"/>
                <w:iCs w:val="0"/>
                <w:color w:val="auto"/>
                <w:highlight w:val="white"/>
              </w:rPr>
            </w:r>
            <w:r>
              <w:rPr>
                <w:i w:val="0"/>
                <w:iCs w:val="0"/>
                <w:color w:val="auto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3. Наличие 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аккредитованной испытательной лаборатории в соответствии с требованиями ГОСТ ИСО/МЭК 17025-2019 с видами методов испытаний: Механические и статические испытания; Измерения твёрдости; Спектральный анализ, Измерение деформация оснований зданий и сооружений;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Полевое определе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ние характеристик прочности и деформируемости; Полевые испытания статическим и динамическим зондированием; Определение прочности по контрольным образцам; Определение прочности механическими методами неразрушающего контроля; Определение прочности по образца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м, отобранным из конструкций; Определение прочности бетона ультразвуковым методом; Определение морозостойкости бетона ультразвуковым методом; Определение толщины защитного слоя бетона и расположения арматуры в железобетонных конструкциях магнитным методом.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Документ, подтверждающий требование: п.1.1, п.1.4. СДА-15-2009 «Требования к испытательным лабораториям», п. 3.16, 5.2, 5.3.1, 5.3.2, 5.3.3 ГОСТ 31937-2024 «Здания и сооружения. Правила обследования и мониторинга технического состояния».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4. Наличие лицензии на деятельность в области использования источников ионизирующего излучения (генерирующих).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ind w:firstLine="313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Документ, подтверждающий требование: статьи 12, п.1, пп.39, 30 Федерального закона от 04.05.2011 №99-ФЗ «О лицензировании отдельных видов деятельности», Постановление Правительства РФ от 25 января 2022 г. N 45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"О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деятельности)"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5. Наличие санитарно-эпидемиологического заключения о соответствии условий работы с источниками ионизирующего излучения санитарным правилам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Документ, подтверждающий требование Основные санитарные правила обеспечения радиационной безопасности (ОСПОРБ-99/2010) Санитарные правила и нормативы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СП 2.6.1.2612-10 п. 3.4.2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6. Акт инспекционного контроля лаборатории ЛНК, ЛРК в соответствии с регламентированными сроками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Документ, подтверждающий требование п. 9.8, 9.10 СДА-15-2009.</w:t>
            </w:r>
            <w:r>
              <w:rPr>
                <w:i w:val="0"/>
                <w:iCs w:val="0"/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97" w:type="dxa"/>
            <w:textDirection w:val="lrTb"/>
            <w:noWrap w:val="false"/>
          </w:tcPr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1. К</w:t>
            </w: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  <w:t xml:space="preserve">опию лицензии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организации, оказывающей услуги по проведению экспертизы промышленной безопасности технических устройств, зданий и сооружений на опасном производственном объекте предназначе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 (переоформленную в соответствие с требованием п. 6.1, ст. 31 Федерального закона от 14.10.2014 № 307-ФЗ)</w:t>
            </w:r>
            <w:r>
              <w:rPr>
                <w:i w:val="0"/>
                <w:iCs w:val="0"/>
                <w:color w:val="auto"/>
                <w:spacing w:val="-1"/>
                <w:sz w:val="24"/>
                <w:szCs w:val="24"/>
              </w:rPr>
              <w:t xml:space="preserve">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2. Копия свидетельства об аттестации лаборатории неразрушающего контроля (ЛНК) в соответствии с Правилами аттестации и основными требованиями к лабораториям неразрушающего контроля (СДАНК-01-2020</w:t>
            </w:r>
            <w:r>
              <w:rPr>
                <w:rStyle w:val="761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в соответствии с </w:t>
            </w:r>
            <w:r>
              <w:rPr>
                <w:rStyle w:val="761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ПБ 03-440-02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) с видами контроля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ультразвуковой, визуально-измерительный, радиационный, капиллярный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магнитопорошковый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,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акустикоэмиссионный,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оптический контроль (ОК) и объектами контроля: 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«Технологические трубопроводы, трубопроводы пара и горячей воды» (8.12); 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«Здания и сооружения (строительные объекты)»: «металлические конструкции» (11.1), «бетонные и железобетонные конструкции» (11.2).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Экспертная организация вправе привлекать к проведению экспертизы лаборатории других организаций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на условиях субподряда. В случае привлечения лабораторий других организаций на условиях субподряда, участником предоставляются документ, подтверждающий наличие договорных взаимоотношений со сторонней лабораторией и документы, подтверждающие её аттестацию.</w:t>
            </w:r>
            <w:r/>
          </w:p>
          <w:p>
            <w:pPr>
              <w:jc w:val="both"/>
              <w:widowControl w:val="off"/>
              <w:rPr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3. Копию свидетельства об аккредитации испытательной лаборатории в соответствии с требованиями ГОСТ ИСО/МЭК 17025-2019 с видами методов испытаний: 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Механические и статические испытания; Измерения твёрдости; Спектральный анализ, Измерение деформация оснований зданий и сооружений;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Полевое определе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ние характеристик прочности и деформируемости; Полевые испытания статическим и динамическим зондированием; Определение прочности по контрольным образцам; Определение прочности механическими методами неразрушающего контроля; Определение прочности по образца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м, отобранным из конструкций; Определение прочности бетона ультразвуковым методом; Определение морозостойкости бетона ультразвуковым методом; Определение толщины защитного слоя бетона и расположения арматуры в железобетонных конструкциях магнитным методом.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ind w:firstLine="613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Экспертная организация вправе привлекать к проведению экспертизы лаборатории других организаций н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а условиях субподряда. В случае привлечения лабораторий других организаций на условиях субподряда, участником предоставляются документ, подтверждающий наличие договорных взаимоотношений со сторонней лабораторией и документы, подтверждающие её аккредитацию.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613"/>
              <w:jc w:val="both"/>
              <w:widowControl w:val="off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4. Копия лицензии на деятельность в области использования источников ионизирующего излучения (генерирующих) и/или выписка из реестра лицензий Федеральной службы по надзору в сфере защиты прав потребителя и благополучия человека.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Копия договора на сбор и транспортировку для дальнейшего обезвреживания отходов производства и потребления: - пленка рентгеновская отработанная, отходы фиксажных растворов при обработке рентгеновской пленки, отходы проявителей рентгеновской пленки.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5. Копия санитарно-эпидемиологического заключения о соответствии условий работы с источниками ионизирующего излучения санитарным правилам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6. Копия акта инспекционного контроля лаборатории ЛНК, ЛРК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в соответствии с регламентированными сроками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</w:tc>
      </w:tr>
    </w:tbl>
    <w:p>
      <w:pPr>
        <w:pStyle w:val="795"/>
        <w:numPr>
          <w:ilvl w:val="0"/>
          <w:numId w:val="1"/>
        </w:numPr>
        <w:contextualSpacing/>
        <w:ind w:left="0" w:firstLine="709"/>
        <w:jc w:val="both"/>
        <w:keepNext/>
        <w:spacing w:before="283" w:after="283"/>
        <w:tabs>
          <w:tab w:val="clear" w:pos="708" w:leader="none"/>
          <w:tab w:val="left" w:pos="992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Квалификационные требования</w:t>
      </w:r>
      <w:r>
        <w:rPr>
          <w:b/>
          <w:bCs/>
          <w:sz w:val="22"/>
          <w:szCs w:val="22"/>
        </w:rPr>
      </w:r>
    </w:p>
    <w:p>
      <w:pPr>
        <w:pStyle w:val="709"/>
        <w:ind w:firstLine="709"/>
        <w:jc w:val="both"/>
        <w:keepNext/>
        <w:spacing w:before="0" w:after="57"/>
        <w:tabs>
          <w:tab w:val="clear" w:pos="708" w:leader="none"/>
          <w:tab w:val="left" w:pos="992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 Перечень квалификационных требований</w:t>
      </w:r>
      <w:r>
        <w:rPr>
          <w:b/>
          <w:bCs/>
          <w:sz w:val="22"/>
          <w:szCs w:val="22"/>
        </w:rPr>
      </w:r>
    </w:p>
    <w:tbl>
      <w:tblPr>
        <w:tblW w:w="9923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5"/>
        <w:gridCol w:w="4964"/>
        <w:gridCol w:w="4394"/>
      </w:tblGrid>
      <w:tr>
        <w:tblPrEx/>
        <w:trPr>
          <w:trHeight w:val="8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vAlign w:val="center"/>
            <w:textDirection w:val="lrTb"/>
            <w:noWrap w:val="false"/>
          </w:tcPr>
          <w:p>
            <w:pPr>
              <w:pStyle w:val="709"/>
              <w:jc w:val="center"/>
              <w:keepNext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4" w:type="dxa"/>
            <w:vAlign w:val="center"/>
            <w:textDirection w:val="lrTb"/>
            <w:noWrap w:val="false"/>
          </w:tcPr>
          <w:p>
            <w:pPr>
              <w:pStyle w:val="709"/>
              <w:jc w:val="center"/>
              <w:keepNext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Участникам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709"/>
              <w:jc w:val="center"/>
              <w:keepNext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795"/>
              <w:numPr>
                <w:ilvl w:val="0"/>
                <w:numId w:val="2"/>
              </w:num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4" w:type="dxa"/>
            <w:textDirection w:val="lrTb"/>
            <w:noWrap w:val="false"/>
          </w:tcPr>
          <w:p>
            <w:pPr>
              <w:pStyle w:val="709"/>
              <w:jc w:val="both"/>
              <w:widowControl w:val="off"/>
              <w:tabs>
                <w:tab w:val="left" w:pos="376" w:leader="none"/>
                <w:tab w:val="clear" w:pos="708" w:leader="none"/>
              </w:tabs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Обязательные требования (неисполнение которых повлечёт отклонение заявки)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Участник закупки должен иметь: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1. Копию распорядительного документа по предприятию о назначении лиц ответственных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за организацию и проведения работ на высоте и назначении ответственных исполнителей (производителей работ) в соответствии с «Правилами по охране труда при работе на высоте, утвержденные приказом Министерства труда Российской Федерации от 16.11.2020 №782н».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Документ, подтверждающий требование п.53 приказа Министерства труда и социальной защиты Российской Федерации от 16.11.2020 №782н «Об утверждении Правил по охране труда при работе на высоте».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2.Наличие не менее 3-х экспертов, в том числе с областями аттестации Э7 ЗС, Э8 ЗС, Э12 ЗС, Э7 ТУ, Э8 ТУ, Э12 ТУ, для которых работа в данной организации является основной. В подтверждении наличия экспертов с постоянной трудовой занятость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ю в данной организации предоставить заверенные копии листов трудовых книжек, а на остальных, в случае отсутствия в штате экспертов с областями аттестации Э7 ЗС, Э8 ЗС, Э12 ЗС, Э7 ТУ, Э8 ТУ, Э12 ТУ, Гражданско-правовые договоры на выполнение работ с эксперт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ами по указанным областям аттестации. Квалификацию экспертов необходимо подтвердить удостоверениями экспертов 3 группы по указанным областям аттестации (оборудование в составе закупки эксплуатируется на опасным производственном объекте 3 класса опасности).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Документ подтверждающий тр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ебование: п. 20 ФНиП в области промышленной безопасности «Правила проведения экспертизы промышленной безопасности», утвержденных приказом Ростехнадзора от 20.10.2020 № 420, п.5 Положения о лицензировании деятельности по проведению экспертизы промышленной б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езопасности, утвержденных постановлением Правительства Российской Федерации от 16.09.2020 №1477, п. 4 Постановления Правительства РФ от 02.06.2022 N 1009 «Об аттестации экспертов в области промышленной безопасности (с изменениями на 9 сентября 2023 года)».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ind w:firstLine="35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ind w:firstLine="35"/>
              <w:jc w:val="both"/>
              <w:widowControl w:val="off"/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3. Наличие специалистов (не менее 2-х, которые будет выполнять работы по Наряду –допуску непосредственно на объектах) по неразрушающему контролю аттестованных не ниже 2 уровня (в соответствии с п. 4.2 </w:t>
            </w:r>
            <w:r>
              <w:rPr>
                <w:rStyle w:val="761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СДАНК-02-2020,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с видами контроля: 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ультразвуковой, визуально-измерительный, радиационный, капиллярный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магнитопорошковый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,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акустикоэмиссионный,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оптический контроль (ОК) и объектами контроля: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«Технологические трубопроводы, трубопроводы пара и горячей воды» (8.12);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«Здания и сооружения (строительные объекты)»: «металлические конструкции» (11.1), «бетонные и железобетонные конструкции» (11.2).</w:t>
            </w:r>
            <w:r/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Документ, подтверждающий требование: п.п. 1.3, 1.4, 1.6, 1.7 и Приложение 1 Правил аттестации персонала в области неразрушающего контроля (СДАНК-02-2020).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4. Н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аличие специалистов (не менее одного, который будет выполнять работы по наряду –допуску непосредственно на объектах и в подземных сооружениях), аттестованных на методы разрушающего контроля и имеющих удостоверения не ниже второго уровня методам испытаний: 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Механические и статические испытания; Измерения твёрдости; Спектральный анализ, Измерение деформация оснований зданий и сооружений;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Полевое определ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ение характеристик прочности и деформируемости; Полевые испытания статическим и динамическим зондированием; Определение прочности по контрольным образцам; Определение прочности механическими методами неразрушающего контроля; Опрееление прочности по образца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м, отобранным из конструкций; Определение прочности бетона ультразвуковым методом; Определение морозостойкости бетона ультразвуковым методом; Определение толщины защитного слоя бетона и расположения арматуры в железобетонных конструкциях магнитным методом.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, в соответствии с требованиями СДА-24-2009.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Документ, подтверждающий требование: п.п. 1.1, 1.6 Правил аттестации (сертификации) персонала ис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пытательных лабораторий СДА-24-2009, принятые Наблюдательным советом, решение от 20.07.2009 № 30-БНС (с изменениями, принятыми Наблюдательным советом, решения от 07.08.2018 № 86-БНС, от 24.03.2021 № 103-БНС, от 19.12.2022 № 109-БНС от 23.05.2024 № 113-БНС)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95"/>
              <w:ind w:left="0" w:firstLine="142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ind w:firstLine="35"/>
              <w:jc w:val="both"/>
              <w:widowControl w:val="off"/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5. Наличие специалистов (не менее 1-го, который будет выполнять работы по Наряду –допуску непосредственно на объектах и в подземных сооружениях) по неразрушающему контролю аттестованных не ниже 2 уровня (в соответствии с п. 2.2 </w:t>
            </w:r>
            <w:r>
              <w:rPr>
                <w:rStyle w:val="761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Положения об аттестации персонала в области неразрушающего контроля напряженно-деформированного состояния от 24 сентября 2010 года N 38-БНС СДОС-05-2010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) с видами контроля: ультразвукового (УК-НДС), магнитного (МК-НДС), визуально-измерительного (ВИК-НДС), оптического (ОК-НДС) с объектами контроля: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«Технологические трубопроводы, трубопроводы пара и горячей воды» (8.12);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«Здания и сооружения (строительные объекты)»: «металлические конструкции» (11.1), «бетонные и железобетонные конструкции» (11.2).</w:t>
            </w:r>
            <w:r/>
          </w:p>
          <w:p>
            <w:pPr>
              <w:pStyle w:val="795"/>
              <w:ind w:left="0" w:firstLine="142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ab/>
              <w:t xml:space="preserve">Документ подтверждающий требование: п. 2.2 Положения об аттестации персонала в области неразрушающего контроля напряженно-деформированного состояния СДОС-05-2010, принятые Наблюдательным советом Решением от от 24 сентября 2010 года №38-БНС.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ind w:firstLine="142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eastAsia="Calibri"/>
                <w:i w:val="0"/>
                <w:iCs w:val="0"/>
                <w:color w:val="auto"/>
                <w:sz w:val="24"/>
                <w:szCs w:val="24"/>
              </w:rPr>
              <w:t xml:space="preserve">п. 24 ФНП «Правила проведения экспертизы промышленной безопасности».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6. Наличие у специалистов (которые непосредственно будут выполнять раб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оты по наряду –допуску непосредственно на объектах и в подземных сооружениях) по неразрушающему (в т.ч. специалиста по контролю напряжённо-деформированного состояния) и разрушающему контролю (не ниже 2 группы), отвечающим требованиям указанным в п.14 Прави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л по охране труда при работе на высоте, утвержденных Министерством труда и социальной защиты Российской Федерации от 16.11.2020 №782н, и экспертов (который (-е) непосредственно будут выполнять работы по наряду–допуску непосредственно на объектах и в подзем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ных сооружениях) (не ниже 3 группы), отвечающим требованиям указанным в п.15 Правил по охране труда при работе на высоте, утвержденных Министерством труда и социальной защиты Российской Федерации от 16.11.2020 №782н, допуска к работе на высоте, с подтвержд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ением уровня квалификации документом о профессиональном образовании (обучении) и (или) о квалификации, согласно п.13 Правил по охране труда при работе на высоте, утвержденных Министерством труда и социальной защиты Российской Федерации от 16.11.2020 №782н.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Документ подтверждающий требование: п.26 приказа Министерства труда и социальной защиты Российской Федерации от 16.11.2020 №782н «Об утверждении Правил по охране труда при работе на высоте».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7. Наличие проверки знаний требований охраны труда у эксперта и специалистов организации по разрушающему и не разрушающему контролю, которые будут непосре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дственно на объектах и в подземных сооружениях, выполнять работы по Наряду-допуску в соответствии с пп. 4.1.6 и 4.3.6 РД 34.03.201-97), аттестованных в соответствии с пп. 46, 53 (в), 92 постановлением Правительства Российской Федерации от 24.12.2021 №2464.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Документ подтверждающий требование: статья 219 Трудового кодекса Российской Федерации.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8. Наличие у руководителя организации свидетельства об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обучении мерам пожарной безопасности по дополнительным профессиональным программам в области пожарной безопасности, либо свидетельство о подготовки "Техносферная безопасность" по профилю "Пожарная безопасность".</w:t>
              <w:br/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Документ подтверждающий требование: п. 2 подпункт 1, Приложения №4 Приказ МЧС от 16.12.2024 г. г. №1120 «Об определении </w:t>
            </w:r>
            <w:hyperlink r:id="rId13" w:tooltip="kodeks://link/d?nd=1311527645&amp;mark=0000000000000000000000000000000000000000000000000065E0IS" w:history="1">
              <w:r>
                <w:rPr>
                  <w:rStyle w:val="764"/>
                  <w:i w:val="0"/>
                  <w:iCs w:val="0"/>
                  <w:color w:val="auto"/>
                  <w:sz w:val="24"/>
                  <w:szCs w:val="24"/>
                  <w:u w:val="none"/>
                </w:rPr>
                <w:t xml:space="preserve">порядка, видов, сроков обучения лиц, осуществляющих трудовую или служебную деятельность, по программам противопожарного инструктажа</w:t>
              </w:r>
            </w:hyperlink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, </w:t>
            </w:r>
            <w:hyperlink r:id="rId14" w:tooltip="kodeks://link/d?nd=1311527645&amp;mark=000000000000000000000000000000000000000000000000007EA0KH" w:history="1">
              <w:r>
                <w:rPr>
                  <w:rStyle w:val="764"/>
                  <w:i w:val="0"/>
                  <w:iCs w:val="0"/>
                  <w:color w:val="auto"/>
                  <w:sz w:val="24"/>
                  <w:szCs w:val="24"/>
                  <w:u w:val="none"/>
                </w:rPr>
                <w:t xml:space="preserve">требований к содержанию указанных программ</w:t>
              </w:r>
            </w:hyperlink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, </w:t>
            </w:r>
            <w:hyperlink r:id="rId15" w:tooltip="kodeks://link/d?nd=1311527645&amp;mark=000000000000000000000000000000000000000000000000007EA0KE" w:history="1">
              <w:r>
                <w:rPr>
                  <w:rStyle w:val="764"/>
                  <w:i w:val="0"/>
                  <w:iCs w:val="0"/>
                  <w:color w:val="auto"/>
                  <w:sz w:val="24"/>
                  <w:szCs w:val="24"/>
                  <w:u w:val="none"/>
                </w:rPr>
                <w:t xml:space="preserve">порядка их утверждения и согласования</w:t>
              </w:r>
            </w:hyperlink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и </w:t>
            </w:r>
            <w:hyperlink r:id="rId16" w:tooltip="kodeks://link/d?nd=1311527645&amp;mark=000000000000000000000000000000000000000000000000007EK0KJ" w:history="1">
              <w:r>
                <w:rPr>
                  <w:rStyle w:val="764"/>
                  <w:i w:val="0"/>
                  <w:iCs w:val="0"/>
                  <w:color w:val="auto"/>
                  <w:sz w:val="24"/>
                  <w:szCs w:val="24"/>
                  <w:u w:val="none"/>
                </w:rPr>
                <w:t xml:space="preserve">категорий лиц, проходящих обучение по дополнительным профессиональным программам в области пожарной безопасности</w:t>
              </w:r>
            </w:hyperlink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.</w:t>
            </w:r>
            <w:r/>
          </w:p>
          <w:p>
            <w:pPr>
              <w:pStyle w:val="709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9. Наличие аттестации в области промышленной безопасности у специалистов неразрушающего и разрушающего контроля, экспертов по областям А.1 (Основы промышленной безопасности)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Приказ Ростехнадзора от 09.08.2023 №285; Статья 14.1 </w:t>
            </w:r>
            <w:r>
              <w:rPr>
                <w:i w:val="0"/>
                <w:iCs w:val="0"/>
                <w:color w:val="auto"/>
                <w:sz w:val="24"/>
                <w:szCs w:val="24"/>
                <w:lang w:val="en-US"/>
              </w:rPr>
              <w:t xml:space="preserve">N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116-ФЗ от 21.07.1997 г.</w:t>
            </w:r>
            <w:r>
              <w:rPr>
                <w:i w:val="0"/>
                <w:iCs w:val="0"/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1. Копию распорядительного документа по предприятию о назначении лиц ответственных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за организацию и проведения работ на высоте и назначении ответственных исполнителей (производителей работ) в соответствии с «Правилами по охране труда при работе на высоте, утвержденные приказом Министерства труда Российской Федерации от 16.11.2020 №782н».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2. Копии удостоверений, подтверждающих наличие 3-х экспертов 3 категории, в том числе по областям Э7 ЗС, Э8 ЗС, Э12 ЗС,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Э7 ТУ, Э8 ТУ, Э12 ТУ. Заверенные копии листов трудовых книжек для подтверждения постоянной занятости экспертов (не менее 3-х экспертов), для которых работа в данной организации является основной, а на остальных экспертов - Гражданско-правовые договоры а вы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полнение работ по областям аттестации Э7 ЗС, Э8 ЗС, Э12 ЗС, Э7 ТУ, Э8 ТУ, Э12 ТУ, с приложением письменного согласия работников на обработку персональных данных (Форма письменного согласия на обработку персональных данных прилагается в составе документов).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3. Копии удостоверений специалистов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по неразрушающему контролю аттестованных не ниже 2 уровня (не менее 2-х специалистов, которые будет выполнять работы по наряду –допуску непосредственно на объектах, и в подземных сооружениях) (в соответствии с п.4.2 СДАНК-02-2020, либо с видами контроля: 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ультразвуковой, визуально-измерительный, радиационный, капиллярный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магнитопорошковый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,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акустикоэмиссионный,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оптический контроль (ОК) и объектами контроля: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«Технологические трубопроводы, трубопроводы пара и горячей воды» (8.12);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«Здания и сооружения (строительные объекты)»: «металлические конструкции» (11.1), «бетонные и железобетонные конструкции» (11.2).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4. Копии удостовер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ений специалистов, (не менее одного, который будет выполнять работы по наряду–допуску непосредственно на объектах и в подземных сооружениях) аттестованных на методы разрушающего контроля и имеющих удостоверения не ниже второго уровня по методам испытаний: 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Механические и статические испытания; Измерения твёрдости; Спектральный анализ, Измерение деформация оснований зданий и сооружений;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Полевое определе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ние характеристик прочности и деформируемости; Полевые испытания статическим и динамическим зондированием; Определение прочности по контрольным образцам; Определение прочности механическими методами неразрушающего контроля; Определение прочности по образца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м, отобранным из конструкций; Определение прочности бетона ультразвуковым методом; Определение морозостойкости бетона ультразвуковым методом; Определение толщины защитного слоя бетона и расположения арматуры в железобетонных конструкциях магнитным методом.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ind w:firstLine="35"/>
              <w:jc w:val="both"/>
              <w:widowControl w:val="off"/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5. Копии удостоверений специалистов (не менее 1-го, который будет выполнять работы по Наряду –допуску непосредственно на объектах и в подземных сооружениях) по неразрушающему контролю аттестованных не ниже 2 уровня (в соответствии с п. 2.2 </w:t>
            </w:r>
            <w:r>
              <w:rPr>
                <w:rStyle w:val="761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Положения об аттестации персонала в области неразрушающего контроля напряженно-деформированного состояния от 24 сентября 2010 года N 38-БНС СДОС-05-2010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) с видами контроля: ультразвукового (УК-НДС), магнитного (МК-НДС), визуально-измерительного (ВИК-НДС), оптического (ОК-НДС)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«Технологические трубопроводы, трубопроводы пара и горячей воды» (8.12);</w:t>
            </w:r>
            <w:r>
              <w:rPr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«Здания и сооружения (строительные объекты)»: «металлические конструкции» (11.1), «бетонные и железобетонные конструкции» (11.2).</w:t>
            </w:r>
            <w:r/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6. Копии удо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стоверений на специалистов по неразрушающему и разрушающему контролю (не ниже 2 группы), и экспертов (не ниже 3 группы), отвечающим требованиям указанным в п.14 Правил по охране труда при работе на высоте, утвержденных Министерством труда и социальной защи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ты Российской Федерации от 16.11.2020 №782н, отвечающим требованиям указанным в п.15 Правил по охране труда при работе на высоте, утвержденных Министерством труда и социальной защиты Российской Федерации от 16.11.2020 №782н, допуска к работе на высоте, с п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одтверждением уровня квалификации документом о профессиональном образовании (обучении) и (или) о квалификации, согласно п.13 Правил по охране труда при работе на высоте, утв. Министерством труда и социальной защиты Российской Федерации от 16.11.2020 №782н.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7. Копии протокола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(-ов) проверки знаний требований охраны труда с регистрационным номер записи о прохождении проверки знания требований охраны труда в реестре обученных по охране труда на сайте Минтруда на эксперта (–ов), специалистов неразрушающего и разрушающего контроля.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8. Копию свидетельства об обучении мерам пожарной безопасности по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дополнительным профессиональным программам в области пожарной безопасности, либо свидетельство о подготовки "Техносферная безопасность" по профилю "Пожарная безопасность" в соответствии с Приказом МЧС от 16.12.2024 г. г. №1120 на  руководителя организации.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709"/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9. Копии протоколов о проверки знаний в области промышленной безопасности на специалистов неразрушающего и разрушающего контроля, экспертов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709"/>
              <w:widowControl w:val="off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i w:val="0"/>
                <w:iCs w:val="0"/>
                <w:color w:val="auto"/>
                <w:sz w:val="24"/>
                <w:szCs w:val="24"/>
              </w:rPr>
            </w:r>
          </w:p>
        </w:tc>
      </w:tr>
    </w:tbl>
    <w:p>
      <w:pPr>
        <w:pStyle w:val="709"/>
      </w:pPr>
      <w:r/>
      <w:r/>
    </w:p>
    <w:p>
      <w:pPr>
        <w:pStyle w:val="709"/>
      </w:pPr>
      <w:r/>
      <w:r/>
    </w:p>
    <w:p>
      <w:pPr>
        <w:pStyle w:val="709"/>
      </w:pPr>
      <w:r/>
      <w:r/>
    </w:p>
    <w:p>
      <w:pPr>
        <w:pStyle w:val="709"/>
      </w:pPr>
      <w:r/>
      <w:r/>
    </w:p>
    <w:p>
      <w:pPr>
        <w:pStyle w:val="709"/>
      </w:pPr>
      <w:r/>
      <w:r/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CJK SC">
    <w:panose1 w:val="020B0502040504020204"/>
  </w:font>
  <w:font w:name="Liberation Sans">
    <w:panose1 w:val="020B0604020202020204"/>
  </w:font>
  <w:font w:name="Segoe UI">
    <w:panose1 w:val="020B05030202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</w:t>
    </w:r>
    <w:r>
      <w:rPr>
        <w:sz w:val="24"/>
        <w:szCs w:val="24"/>
      </w:rPr>
      <w:fldChar w:fldCharType="end"/>
    </w:r>
    <w:r>
      <w:rPr>
        <w:sz w:val="24"/>
        <w:szCs w:val="24"/>
      </w:rPr>
    </w:r>
  </w:p>
  <w:p>
    <w:pPr>
      <w:pStyle w:val="79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3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793"/>
                            <w:rPr>
                              <w:rStyle w:val="76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760"/>
                            </w:rPr>
                            <w:fldChar w:fldCharType="begin"/>
                          </w:r>
                          <w:r>
                            <w:rPr>
                              <w:rStyle w:val="760"/>
                            </w:rPr>
                            <w:instrText xml:space="preserve"> PAGE </w:instrText>
                          </w:r>
                          <w:r>
                            <w:rPr>
                              <w:rStyle w:val="760"/>
                            </w:rPr>
                            <w:fldChar w:fldCharType="separate"/>
                          </w:r>
                          <w:r>
                            <w:rPr>
                              <w:rStyle w:val="760"/>
                            </w:rPr>
                            <w:t xml:space="preserve">0</w:t>
                          </w:r>
                          <w:r>
                            <w:rPr>
                              <w:rStyle w:val="760"/>
                            </w:rPr>
                            <w:fldChar w:fldCharType="end"/>
                          </w:r>
                          <w:r>
                            <w:rPr>
                              <w:rStyle w:val="760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793"/>
                      <w:rPr>
                        <w:rStyle w:val="760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>
                      <w:rPr>
                        <w:rStyle w:val="760"/>
                      </w:rPr>
                      <w:fldChar w:fldCharType="begin"/>
                    </w:r>
                    <w:r>
                      <w:rPr>
                        <w:rStyle w:val="760"/>
                      </w:rPr>
                      <w:instrText xml:space="preserve"> PAGE </w:instrText>
                    </w:r>
                    <w:r>
                      <w:rPr>
                        <w:rStyle w:val="760"/>
                      </w:rPr>
                      <w:fldChar w:fldCharType="separate"/>
                    </w:r>
                    <w:r>
                      <w:rPr>
                        <w:rStyle w:val="760"/>
                      </w:rPr>
                      <w:t xml:space="preserve">0</w:t>
                    </w:r>
                    <w:r>
                      <w:rPr>
                        <w:rStyle w:val="760"/>
                      </w:rPr>
                      <w:fldChar w:fldCharType="end"/>
                    </w:r>
                    <w:r>
                      <w:rPr>
                        <w:rStyle w:val="760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3"/>
      <w:jc w:val="center"/>
    </w:pPr>
    <w:r/>
    <w:r/>
  </w:p>
  <w:p>
    <w:pPr>
      <w:pStyle w:val="79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 w:default="1">
    <w:name w:val="Normal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710">
    <w:name w:val="Heading 1"/>
    <w:basedOn w:val="709"/>
    <w:next w:val="709"/>
    <w:link w:val="7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1">
    <w:name w:val="Heading 2"/>
    <w:basedOn w:val="709"/>
    <w:next w:val="709"/>
    <w:link w:val="7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12">
    <w:name w:val="Heading 3"/>
    <w:basedOn w:val="709"/>
    <w:next w:val="709"/>
    <w:link w:val="73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3">
    <w:name w:val="Heading 4"/>
    <w:basedOn w:val="709"/>
    <w:next w:val="709"/>
    <w:link w:val="7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4">
    <w:name w:val="Heading 5"/>
    <w:basedOn w:val="709"/>
    <w:next w:val="709"/>
    <w:link w:val="7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709"/>
    <w:next w:val="709"/>
    <w:link w:val="7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709"/>
    <w:next w:val="709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7">
    <w:name w:val="Heading 8"/>
    <w:basedOn w:val="709"/>
    <w:next w:val="709"/>
    <w:link w:val="7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709"/>
    <w:next w:val="709"/>
    <w:link w:val="7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 w:default="1">
    <w:name w:val="Default Paragraph Font"/>
    <w:uiPriority w:val="1"/>
    <w:semiHidden/>
    <w:unhideWhenUsed/>
    <w:qFormat/>
  </w:style>
  <w:style w:type="character" w:styleId="720" w:customStyle="1">
    <w:name w:val="Caption Char"/>
    <w:basedOn w:val="719"/>
    <w:uiPriority w:val="35"/>
    <w:qFormat/>
    <w:rPr>
      <w:b/>
      <w:bCs/>
      <w:color w:val="5b9bd5" w:themeColor="accent1"/>
      <w:sz w:val="18"/>
      <w:szCs w:val="18"/>
    </w:rPr>
  </w:style>
  <w:style w:type="character" w:styleId="721" w:customStyle="1">
    <w:name w:val="Heading 1 Char"/>
    <w:basedOn w:val="719"/>
    <w:uiPriority w:val="9"/>
    <w:qFormat/>
    <w:rPr>
      <w:rFonts w:ascii="Arial" w:hAnsi="Arial" w:eastAsia="Arial" w:cs="Arial"/>
      <w:sz w:val="40"/>
      <w:szCs w:val="40"/>
    </w:rPr>
  </w:style>
  <w:style w:type="character" w:styleId="722" w:customStyle="1">
    <w:name w:val="Heading 2 Char"/>
    <w:basedOn w:val="719"/>
    <w:uiPriority w:val="9"/>
    <w:qFormat/>
    <w:rPr>
      <w:rFonts w:ascii="Arial" w:hAnsi="Arial" w:eastAsia="Arial" w:cs="Arial"/>
      <w:sz w:val="34"/>
    </w:rPr>
  </w:style>
  <w:style w:type="character" w:styleId="723" w:customStyle="1">
    <w:name w:val="Heading 3 Char"/>
    <w:basedOn w:val="719"/>
    <w:uiPriority w:val="9"/>
    <w:qFormat/>
    <w:rPr>
      <w:rFonts w:ascii="Arial" w:hAnsi="Arial" w:eastAsia="Arial" w:cs="Arial"/>
      <w:sz w:val="30"/>
      <w:szCs w:val="30"/>
    </w:rPr>
  </w:style>
  <w:style w:type="character" w:styleId="724" w:customStyle="1">
    <w:name w:val="Heading 4 Char"/>
    <w:basedOn w:val="71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25" w:customStyle="1">
    <w:name w:val="Heading 5 Char"/>
    <w:basedOn w:val="71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26" w:customStyle="1">
    <w:name w:val="Heading 6 Char"/>
    <w:basedOn w:val="71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27" w:customStyle="1">
    <w:name w:val="Heading 7 Char"/>
    <w:basedOn w:val="71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28" w:customStyle="1">
    <w:name w:val="Heading 8 Char"/>
    <w:basedOn w:val="71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29" w:customStyle="1">
    <w:name w:val="Heading 9 Char"/>
    <w:basedOn w:val="71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0" w:customStyle="1">
    <w:name w:val="Title Char"/>
    <w:basedOn w:val="719"/>
    <w:uiPriority w:val="10"/>
    <w:qFormat/>
    <w:rPr>
      <w:sz w:val="48"/>
      <w:szCs w:val="48"/>
    </w:rPr>
  </w:style>
  <w:style w:type="character" w:styleId="731" w:customStyle="1">
    <w:name w:val="Subtitle Char"/>
    <w:basedOn w:val="719"/>
    <w:uiPriority w:val="11"/>
    <w:qFormat/>
    <w:rPr>
      <w:sz w:val="24"/>
      <w:szCs w:val="24"/>
    </w:rPr>
  </w:style>
  <w:style w:type="character" w:styleId="732" w:customStyle="1">
    <w:name w:val="Quote Char"/>
    <w:uiPriority w:val="29"/>
    <w:qFormat/>
    <w:rPr>
      <w:i/>
    </w:rPr>
  </w:style>
  <w:style w:type="character" w:styleId="733" w:customStyle="1">
    <w:name w:val="Intense Quote Char"/>
    <w:uiPriority w:val="30"/>
    <w:qFormat/>
    <w:rPr>
      <w:i/>
    </w:rPr>
  </w:style>
  <w:style w:type="character" w:styleId="734" w:customStyle="1">
    <w:name w:val="Footnote Text Char"/>
    <w:uiPriority w:val="99"/>
    <w:qFormat/>
    <w:rPr>
      <w:sz w:val="18"/>
    </w:rPr>
  </w:style>
  <w:style w:type="character" w:styleId="735" w:customStyle="1">
    <w:name w:val="Endnote Text Char"/>
    <w:uiPriority w:val="99"/>
    <w:qFormat/>
    <w:rPr>
      <w:sz w:val="20"/>
    </w:rPr>
  </w:style>
  <w:style w:type="character" w:styleId="736" w:customStyle="1">
    <w:name w:val="Заголовок 1 Знак"/>
    <w:basedOn w:val="719"/>
    <w:uiPriority w:val="9"/>
    <w:qFormat/>
    <w:rPr>
      <w:rFonts w:ascii="Arial" w:hAnsi="Arial" w:eastAsia="Arial" w:cs="Arial"/>
      <w:sz w:val="40"/>
      <w:szCs w:val="40"/>
    </w:rPr>
  </w:style>
  <w:style w:type="character" w:styleId="737" w:customStyle="1">
    <w:name w:val="Заголовок 2 Знак"/>
    <w:basedOn w:val="719"/>
    <w:uiPriority w:val="9"/>
    <w:qFormat/>
    <w:rPr>
      <w:rFonts w:ascii="Arial" w:hAnsi="Arial" w:eastAsia="Arial" w:cs="Arial"/>
      <w:sz w:val="34"/>
    </w:rPr>
  </w:style>
  <w:style w:type="character" w:styleId="738" w:customStyle="1">
    <w:name w:val="Заголовок 3 Знак"/>
    <w:basedOn w:val="719"/>
    <w:uiPriority w:val="9"/>
    <w:qFormat/>
    <w:rPr>
      <w:rFonts w:ascii="Arial" w:hAnsi="Arial" w:eastAsia="Arial" w:cs="Arial"/>
      <w:sz w:val="30"/>
      <w:szCs w:val="30"/>
    </w:rPr>
  </w:style>
  <w:style w:type="character" w:styleId="739" w:customStyle="1">
    <w:name w:val="Заголовок 4 Знак"/>
    <w:basedOn w:val="71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Заголовок 5 Знак"/>
    <w:basedOn w:val="71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Заголовок 6 Знак"/>
    <w:basedOn w:val="71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Заголовок 7 Знак"/>
    <w:basedOn w:val="71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Заголовок 8 Знак"/>
    <w:basedOn w:val="71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Заголовок 9 Знак"/>
    <w:basedOn w:val="71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5" w:customStyle="1">
    <w:name w:val="Заголовок Знак"/>
    <w:basedOn w:val="719"/>
    <w:uiPriority w:val="10"/>
    <w:qFormat/>
    <w:rPr>
      <w:sz w:val="48"/>
      <w:szCs w:val="48"/>
    </w:rPr>
  </w:style>
  <w:style w:type="character" w:styleId="746" w:customStyle="1">
    <w:name w:val="Подзаголовок Знак"/>
    <w:basedOn w:val="719"/>
    <w:uiPriority w:val="11"/>
    <w:qFormat/>
    <w:rPr>
      <w:sz w:val="24"/>
      <w:szCs w:val="24"/>
    </w:rPr>
  </w:style>
  <w:style w:type="character" w:styleId="747" w:customStyle="1">
    <w:name w:val="Цитата 2 Знак"/>
    <w:link w:val="776"/>
    <w:uiPriority w:val="29"/>
    <w:qFormat/>
    <w:rPr>
      <w:i/>
    </w:rPr>
  </w:style>
  <w:style w:type="character" w:styleId="748" w:customStyle="1">
    <w:name w:val="Выделенная цитата Знак"/>
    <w:link w:val="777"/>
    <w:uiPriority w:val="30"/>
    <w:qFormat/>
    <w:rPr>
      <w:i/>
    </w:rPr>
  </w:style>
  <w:style w:type="character" w:styleId="749" w:customStyle="1">
    <w:name w:val="Header Char"/>
    <w:basedOn w:val="719"/>
    <w:uiPriority w:val="99"/>
    <w:qFormat/>
  </w:style>
  <w:style w:type="character" w:styleId="750" w:customStyle="1">
    <w:name w:val="Footer Char"/>
    <w:basedOn w:val="719"/>
    <w:uiPriority w:val="99"/>
    <w:qFormat/>
  </w:style>
  <w:style w:type="character" w:styleId="751" w:customStyle="1">
    <w:name w:val="Название объекта Знак"/>
    <w:link w:val="772"/>
    <w:uiPriority w:val="99"/>
    <w:qFormat/>
  </w:style>
  <w:style w:type="character" w:styleId="752" w:customStyle="1">
    <w:name w:val="Текст сноски Знак"/>
    <w:uiPriority w:val="99"/>
    <w:qFormat/>
    <w:rPr>
      <w:sz w:val="18"/>
    </w:rPr>
  </w:style>
  <w:style w:type="character" w:styleId="753" w:customStyle="1">
    <w:name w:val="Символ сноски"/>
    <w:uiPriority w:val="99"/>
    <w:unhideWhenUsed/>
    <w:qFormat/>
    <w:rPr>
      <w:vertAlign w:val="superscript"/>
    </w:rPr>
  </w:style>
  <w:style w:type="character" w:styleId="754">
    <w:name w:val="footnote reference"/>
    <w:rPr>
      <w:vertAlign w:val="superscript"/>
    </w:rPr>
  </w:style>
  <w:style w:type="character" w:styleId="755" w:customStyle="1">
    <w:name w:val="Текст концевой сноски Знак"/>
    <w:uiPriority w:val="99"/>
    <w:qFormat/>
    <w:rPr>
      <w:sz w:val="20"/>
    </w:rPr>
  </w:style>
  <w:style w:type="character" w:styleId="756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57">
    <w:name w:val="endnote reference"/>
    <w:rPr>
      <w:vertAlign w:val="superscript"/>
    </w:rPr>
  </w:style>
  <w:style w:type="character" w:styleId="758" w:customStyle="1">
    <w:name w:val="Верхний колонтитул Знак"/>
    <w:basedOn w:val="719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59" w:customStyle="1">
    <w:name w:val="Нижний колонтитул Знак"/>
    <w:basedOn w:val="719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60">
    <w:name w:val="page number"/>
    <w:basedOn w:val="719"/>
    <w:qFormat/>
  </w:style>
  <w:style w:type="character" w:styleId="761">
    <w:name w:val="Emphasis"/>
    <w:uiPriority w:val="20"/>
    <w:qFormat/>
    <w:rPr>
      <w:i/>
      <w:iCs/>
    </w:rPr>
  </w:style>
  <w:style w:type="character" w:styleId="762" w:customStyle="1">
    <w:name w:val="Абзац списка Знак"/>
    <w:link w:val="795"/>
    <w:uiPriority w:val="99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763" w:customStyle="1">
    <w:name w:val="комментарий"/>
    <w:qFormat/>
    <w:rPr>
      <w:b/>
      <w:i/>
      <w:shd w:val="clear" w:color="auto" w:fill="ffff99"/>
    </w:rPr>
  </w:style>
  <w:style w:type="character" w:styleId="764">
    <w:name w:val="Hyperlink"/>
    <w:basedOn w:val="719"/>
    <w:uiPriority w:val="99"/>
    <w:unhideWhenUsed/>
    <w:rPr>
      <w:color w:val="0563c1" w:themeColor="hyperlink"/>
      <w:u w:val="single"/>
    </w:rPr>
  </w:style>
  <w:style w:type="character" w:styleId="765" w:customStyle="1">
    <w:name w:val="Текст выноски Знак"/>
    <w:basedOn w:val="719"/>
    <w:link w:val="796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paragraph" w:styleId="766">
    <w:name w:val="Заголовок"/>
    <w:basedOn w:val="709"/>
    <w:next w:val="767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67">
    <w:name w:val="Body Text"/>
    <w:basedOn w:val="709"/>
    <w:pPr>
      <w:spacing w:before="0" w:after="140" w:line="276" w:lineRule="auto"/>
    </w:pPr>
  </w:style>
  <w:style w:type="paragraph" w:styleId="768">
    <w:name w:val="List"/>
    <w:basedOn w:val="767"/>
    <w:rPr>
      <w:rFonts w:cs="Arial Unicode MS"/>
    </w:rPr>
  </w:style>
  <w:style w:type="paragraph" w:styleId="769">
    <w:name w:val="Caption"/>
    <w:basedOn w:val="709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770">
    <w:name w:val="Указатель"/>
    <w:basedOn w:val="709"/>
    <w:qFormat/>
    <w:pPr>
      <w:suppressLineNumbers/>
    </w:pPr>
    <w:rPr>
      <w:rFonts w:cs="Arial Unicode MS"/>
    </w:rPr>
  </w:style>
  <w:style w:type="paragraph" w:styleId="771">
    <w:name w:val="Title"/>
    <w:basedOn w:val="709"/>
    <w:next w:val="767"/>
    <w:link w:val="74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72">
    <w:name w:val="caption1"/>
    <w:basedOn w:val="709"/>
    <w:next w:val="709"/>
    <w:link w:val="75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773">
    <w:name w:val="index heading1"/>
    <w:basedOn w:val="771"/>
    <w:qFormat/>
  </w:style>
  <w:style w:type="paragraph" w:styleId="774">
    <w:name w:val="No Spacing"/>
    <w:uiPriority w:val="1"/>
    <w:qFormat/>
    <w:pPr>
      <w:jc w:val="left"/>
      <w:spacing w:before="0" w:after="0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75">
    <w:name w:val="Subtitle"/>
    <w:basedOn w:val="709"/>
    <w:next w:val="709"/>
    <w:link w:val="746"/>
    <w:uiPriority w:val="11"/>
    <w:qFormat/>
    <w:pPr>
      <w:spacing w:before="200" w:after="200"/>
    </w:pPr>
    <w:rPr>
      <w:sz w:val="24"/>
      <w:szCs w:val="24"/>
    </w:rPr>
  </w:style>
  <w:style w:type="paragraph" w:styleId="776">
    <w:name w:val="Quote"/>
    <w:basedOn w:val="709"/>
    <w:next w:val="709"/>
    <w:link w:val="747"/>
    <w:uiPriority w:val="29"/>
    <w:qFormat/>
    <w:pPr>
      <w:ind w:left="720" w:right="720" w:firstLine="0"/>
    </w:pPr>
    <w:rPr>
      <w:i/>
    </w:rPr>
  </w:style>
  <w:style w:type="paragraph" w:styleId="777">
    <w:name w:val="Intense Quote"/>
    <w:basedOn w:val="709"/>
    <w:next w:val="709"/>
    <w:link w:val="748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78">
    <w:name w:val="footnote text"/>
    <w:basedOn w:val="709"/>
    <w:link w:val="752"/>
    <w:uiPriority w:val="99"/>
    <w:semiHidden/>
    <w:unhideWhenUsed/>
    <w:pPr>
      <w:spacing w:before="0" w:after="40"/>
    </w:pPr>
    <w:rPr>
      <w:sz w:val="18"/>
    </w:rPr>
  </w:style>
  <w:style w:type="paragraph" w:styleId="779">
    <w:name w:val="endnote text"/>
    <w:basedOn w:val="709"/>
    <w:link w:val="755"/>
    <w:uiPriority w:val="99"/>
    <w:semiHidden/>
    <w:unhideWhenUsed/>
    <w:rPr>
      <w:sz w:val="20"/>
    </w:rPr>
  </w:style>
  <w:style w:type="paragraph" w:styleId="780">
    <w:name w:val="toc 1"/>
    <w:basedOn w:val="709"/>
    <w:next w:val="709"/>
    <w:uiPriority w:val="39"/>
    <w:unhideWhenUsed/>
    <w:pPr>
      <w:spacing w:before="0" w:after="57"/>
    </w:pPr>
  </w:style>
  <w:style w:type="paragraph" w:styleId="781">
    <w:name w:val="toc 2"/>
    <w:basedOn w:val="709"/>
    <w:next w:val="709"/>
    <w:uiPriority w:val="39"/>
    <w:unhideWhenUsed/>
    <w:pPr>
      <w:ind w:left="283" w:firstLine="0"/>
      <w:spacing w:before="0" w:after="57"/>
    </w:pPr>
  </w:style>
  <w:style w:type="paragraph" w:styleId="782">
    <w:name w:val="toc 3"/>
    <w:basedOn w:val="709"/>
    <w:next w:val="709"/>
    <w:uiPriority w:val="39"/>
    <w:unhideWhenUsed/>
    <w:pPr>
      <w:ind w:left="567" w:firstLine="0"/>
      <w:spacing w:before="0" w:after="57"/>
    </w:pPr>
  </w:style>
  <w:style w:type="paragraph" w:styleId="783">
    <w:name w:val="toc 4"/>
    <w:basedOn w:val="709"/>
    <w:next w:val="709"/>
    <w:uiPriority w:val="39"/>
    <w:unhideWhenUsed/>
    <w:pPr>
      <w:ind w:left="850" w:firstLine="0"/>
      <w:spacing w:before="0" w:after="57"/>
    </w:pPr>
  </w:style>
  <w:style w:type="paragraph" w:styleId="784">
    <w:name w:val="toc 5"/>
    <w:basedOn w:val="709"/>
    <w:next w:val="709"/>
    <w:uiPriority w:val="39"/>
    <w:unhideWhenUsed/>
    <w:pPr>
      <w:ind w:left="1134" w:firstLine="0"/>
      <w:spacing w:before="0" w:after="57"/>
    </w:pPr>
  </w:style>
  <w:style w:type="paragraph" w:styleId="785">
    <w:name w:val="toc 6"/>
    <w:basedOn w:val="709"/>
    <w:next w:val="709"/>
    <w:uiPriority w:val="39"/>
    <w:unhideWhenUsed/>
    <w:pPr>
      <w:ind w:left="1417" w:firstLine="0"/>
      <w:spacing w:before="0" w:after="57"/>
    </w:pPr>
  </w:style>
  <w:style w:type="paragraph" w:styleId="786">
    <w:name w:val="toc 7"/>
    <w:basedOn w:val="709"/>
    <w:next w:val="709"/>
    <w:uiPriority w:val="39"/>
    <w:unhideWhenUsed/>
    <w:pPr>
      <w:ind w:left="1701" w:firstLine="0"/>
      <w:spacing w:before="0" w:after="57"/>
    </w:pPr>
  </w:style>
  <w:style w:type="paragraph" w:styleId="787">
    <w:name w:val="toc 8"/>
    <w:basedOn w:val="709"/>
    <w:next w:val="709"/>
    <w:uiPriority w:val="39"/>
    <w:unhideWhenUsed/>
    <w:pPr>
      <w:ind w:left="1984" w:firstLine="0"/>
      <w:spacing w:before="0" w:after="57"/>
    </w:pPr>
  </w:style>
  <w:style w:type="paragraph" w:styleId="788">
    <w:name w:val="toc 9"/>
    <w:basedOn w:val="709"/>
    <w:next w:val="709"/>
    <w:uiPriority w:val="39"/>
    <w:unhideWhenUsed/>
    <w:pPr>
      <w:ind w:left="2268" w:firstLine="0"/>
      <w:spacing w:before="0" w:after="57"/>
    </w:pPr>
  </w:style>
  <w:style w:type="paragraph" w:styleId="789">
    <w:name w:val="Index Heading"/>
    <w:basedOn w:val="766"/>
  </w:style>
  <w:style w:type="paragraph" w:styleId="790">
    <w:name w:val="TOC Heading"/>
    <w:uiPriority w:val="39"/>
    <w:unhideWhenUsed/>
    <w:qFormat/>
    <w:pPr>
      <w:jc w:val="left"/>
      <w:spacing w:before="0" w:after="16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91">
    <w:name w:val="table of figures"/>
    <w:basedOn w:val="709"/>
    <w:next w:val="709"/>
    <w:uiPriority w:val="99"/>
    <w:unhideWhenUsed/>
    <w:qFormat/>
  </w:style>
  <w:style w:type="paragraph" w:styleId="792" w:customStyle="1">
    <w:name w:val="Колонтитул"/>
    <w:basedOn w:val="709"/>
    <w:qFormat/>
  </w:style>
  <w:style w:type="paragraph" w:styleId="793">
    <w:name w:val="Header"/>
    <w:basedOn w:val="709"/>
    <w:link w:val="758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794">
    <w:name w:val="Footer"/>
    <w:basedOn w:val="709"/>
    <w:link w:val="759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95">
    <w:name w:val="List Paragraph"/>
    <w:basedOn w:val="709"/>
    <w:link w:val="762"/>
    <w:uiPriority w:val="99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796">
    <w:name w:val="Balloon Text"/>
    <w:basedOn w:val="709"/>
    <w:link w:val="76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797" w:customStyle="1">
    <w:name w:val="Содержимое врезки"/>
    <w:basedOn w:val="709"/>
    <w:qFormat/>
  </w:style>
  <w:style w:type="numbering" w:styleId="798" w:default="1">
    <w:name w:val="No List"/>
    <w:uiPriority w:val="99"/>
    <w:semiHidden/>
    <w:unhideWhenUsed/>
    <w:qFormat/>
  </w:style>
  <w:style w:type="table" w:styleId="799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Table Grid"/>
    <w:basedOn w:val="79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01" w:customStyle="1">
    <w:name w:val="Table Grid Light"/>
    <w:basedOn w:val="7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2">
    <w:name w:val="Plain Table 1"/>
    <w:basedOn w:val="7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03">
    <w:name w:val="Plain Table 2"/>
    <w:basedOn w:val="79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04">
    <w:name w:val="Plain Table 3"/>
    <w:basedOn w:val="79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>
    <w:name w:val="Plain Table 4"/>
    <w:basedOn w:val="79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Plain Table 5"/>
    <w:basedOn w:val="79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>
    <w:name w:val="Grid Table 1 Light"/>
    <w:basedOn w:val="79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1"/>
    <w:basedOn w:val="79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2"/>
    <w:basedOn w:val="79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3"/>
    <w:basedOn w:val="79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4"/>
    <w:basedOn w:val="79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5"/>
    <w:basedOn w:val="79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6"/>
    <w:basedOn w:val="79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2"/>
    <w:basedOn w:val="7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1"/>
    <w:basedOn w:val="79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2"/>
    <w:basedOn w:val="79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3"/>
    <w:basedOn w:val="79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4"/>
    <w:basedOn w:val="79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5"/>
    <w:basedOn w:val="79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6"/>
    <w:basedOn w:val="79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"/>
    <w:basedOn w:val="7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1"/>
    <w:basedOn w:val="79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2"/>
    <w:basedOn w:val="79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3"/>
    <w:basedOn w:val="79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4"/>
    <w:basedOn w:val="79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5"/>
    <w:basedOn w:val="79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6"/>
    <w:basedOn w:val="79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4"/>
    <w:basedOn w:val="79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9" w:customStyle="1">
    <w:name w:val="Grid Table 4 - Accent 1"/>
    <w:basedOn w:val="799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</w:tcBorders>
      </w:tcPr>
    </w:tblStylePr>
  </w:style>
  <w:style w:type="table" w:styleId="830" w:customStyle="1">
    <w:name w:val="Grid Table 4 - Accent 2"/>
    <w:basedOn w:val="79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</w:tcBorders>
      </w:tcPr>
    </w:tblStylePr>
  </w:style>
  <w:style w:type="table" w:styleId="831" w:customStyle="1">
    <w:name w:val="Grid Table 4 - Accent 3"/>
    <w:basedOn w:val="79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832" w:customStyle="1">
    <w:name w:val="Grid Table 4 - Accent 4"/>
    <w:basedOn w:val="79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</w:tcBorders>
      </w:tcPr>
    </w:tblStylePr>
  </w:style>
  <w:style w:type="table" w:styleId="833" w:customStyle="1">
    <w:name w:val="Grid Table 4 - Accent 5"/>
    <w:basedOn w:val="799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34" w:customStyle="1">
    <w:name w:val="Grid Table 4 - Accent 6"/>
    <w:basedOn w:val="79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5">
    <w:name w:val="Grid Table 5 Dark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- Accent 1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2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3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- Accent 4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5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6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42">
    <w:name w:val="Grid Table 6 Colorful"/>
    <w:basedOn w:val="79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3" w:customStyle="1">
    <w:name w:val="Grid Table 6 Colorful - Accent 1"/>
    <w:basedOn w:val="799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44" w:customStyle="1">
    <w:name w:val="Grid Table 6 Colorful - Accent 2"/>
    <w:basedOn w:val="79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5" w:customStyle="1">
    <w:name w:val="Grid Table 6 Colorful - Accent 3"/>
    <w:basedOn w:val="79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6" w:customStyle="1">
    <w:name w:val="Grid Table 6 Colorful - Accent 4"/>
    <w:basedOn w:val="79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7" w:customStyle="1">
    <w:name w:val="Grid Table 6 Colorful - Accent 5"/>
    <w:basedOn w:val="799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8" w:customStyle="1">
    <w:name w:val="Grid Table 6 Colorful - Accent 6"/>
    <w:basedOn w:val="79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9">
    <w:name w:val="Grid Table 7 Colorful"/>
    <w:basedOn w:val="79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1"/>
    <w:basedOn w:val="799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2"/>
    <w:basedOn w:val="79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Grid Table 7 Colorful - Accent 3"/>
    <w:basedOn w:val="79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Grid Table 7 Colorful - Accent 4"/>
    <w:basedOn w:val="79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Grid Table 7 Colorful - Accent 5"/>
    <w:basedOn w:val="799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5" w:sz="4" w:space="0"/>
          <w:right w:val="none" w:color="000000" w:sz="0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Grid Table 7 Colorful - Accent 6"/>
    <w:basedOn w:val="79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>
    <w:name w:val="List Table 1 Light"/>
    <w:basedOn w:val="799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1"/>
    <w:basedOn w:val="799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2"/>
    <w:basedOn w:val="799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3"/>
    <w:basedOn w:val="799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4"/>
    <w:basedOn w:val="799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5"/>
    <w:basedOn w:val="799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6"/>
    <w:basedOn w:val="799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2"/>
    <w:basedOn w:val="79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64" w:customStyle="1">
    <w:name w:val="List Table 2 - Accent 1"/>
    <w:basedOn w:val="799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</w:style>
  <w:style w:type="table" w:styleId="865" w:customStyle="1">
    <w:name w:val="List Table 2 - Accent 2"/>
    <w:basedOn w:val="79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866" w:customStyle="1">
    <w:name w:val="List Table 2 - Accent 3"/>
    <w:basedOn w:val="79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867" w:customStyle="1">
    <w:name w:val="List Table 2 - Accent 4"/>
    <w:basedOn w:val="79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868" w:customStyle="1">
    <w:name w:val="List Table 2 - Accent 5"/>
    <w:basedOn w:val="799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</w:style>
  <w:style w:type="table" w:styleId="869" w:customStyle="1">
    <w:name w:val="List Table 2 - Accent 6"/>
    <w:basedOn w:val="79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870">
    <w:name w:val="List Table 3"/>
    <w:basedOn w:val="7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1"/>
    <w:basedOn w:val="799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2"/>
    <w:basedOn w:val="79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3"/>
    <w:basedOn w:val="79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4"/>
    <w:basedOn w:val="79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5"/>
    <w:basedOn w:val="799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6"/>
    <w:basedOn w:val="79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"/>
    <w:basedOn w:val="7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1"/>
    <w:basedOn w:val="799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2"/>
    <w:basedOn w:val="79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3"/>
    <w:basedOn w:val="79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4"/>
    <w:basedOn w:val="79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5"/>
    <w:basedOn w:val="799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6"/>
    <w:basedOn w:val="79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basedOn w:val="79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5" w:customStyle="1">
    <w:name w:val="List Table 5 Dark - Accent 1"/>
    <w:basedOn w:val="799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6" w:customStyle="1">
    <w:name w:val="List Table 5 Dark - Accent 2"/>
    <w:basedOn w:val="79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7" w:customStyle="1">
    <w:name w:val="List Table 5 Dark - Accent 3"/>
    <w:basedOn w:val="79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8" w:customStyle="1">
    <w:name w:val="List Table 5 Dark - Accent 4"/>
    <w:basedOn w:val="79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9" w:customStyle="1">
    <w:name w:val="List Table 5 Dark - Accent 5"/>
    <w:basedOn w:val="799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4472C4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0" w:customStyle="1">
    <w:name w:val="List Table 5 Dark - Accent 6"/>
    <w:basedOn w:val="79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1">
    <w:name w:val="List Table 6 Colorful"/>
    <w:basedOn w:val="79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92" w:customStyle="1">
    <w:name w:val="List Table 6 Colorful - Accent 1"/>
    <w:basedOn w:val="799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93" w:customStyle="1">
    <w:name w:val="List Table 6 Colorful - Accent 2"/>
    <w:basedOn w:val="79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894" w:customStyle="1">
    <w:name w:val="List Table 6 Colorful - Accent 3"/>
    <w:basedOn w:val="79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895" w:customStyle="1">
    <w:name w:val="List Table 6 Colorful - Accent 4"/>
    <w:basedOn w:val="79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896" w:customStyle="1">
    <w:name w:val="List Table 6 Colorful - Accent 5"/>
    <w:basedOn w:val="799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4472C4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4472C4" w:themeColor="accent5" w:sz="4" w:space="0"/>
        </w:tcBorders>
      </w:tcPr>
    </w:tblStylePr>
  </w:style>
  <w:style w:type="table" w:styleId="897" w:customStyle="1">
    <w:name w:val="List Table 6 Colorful - Accent 6"/>
    <w:basedOn w:val="79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898">
    <w:name w:val="List Table 7 Colorful"/>
    <w:basedOn w:val="79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1"/>
    <w:basedOn w:val="799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2"/>
    <w:basedOn w:val="79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7 Colorful - Accent 3"/>
    <w:basedOn w:val="79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List Table 7 Colorful - Accent 4"/>
    <w:basedOn w:val="79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List Table 7 Colorful - Accent 5"/>
    <w:basedOn w:val="799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5" w:sz="4" w:space="0"/>
          <w:right w:val="none" w:color="000000" w:sz="0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List Table 7 Colorful - Accent 6"/>
    <w:basedOn w:val="79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ned - Accent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06" w:customStyle="1">
    <w:name w:val="Lined - Accent 1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07" w:customStyle="1">
    <w:name w:val="Lined - Accent 2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08" w:customStyle="1">
    <w:name w:val="Lined - Accent 3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09" w:customStyle="1">
    <w:name w:val="Lined - Accent 4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10" w:customStyle="1">
    <w:name w:val="Lined - Accent 5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11" w:customStyle="1">
    <w:name w:val="Lined - Accent 6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12" w:customStyle="1">
    <w:name w:val="Bordered &amp; Lined - Accent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13" w:customStyle="1">
    <w:name w:val="Bordered &amp; Lined - Accent 1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14" w:customStyle="1">
    <w:name w:val="Bordered &amp; Lined - Accent 2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15" w:customStyle="1">
    <w:name w:val="Bordered &amp; Lined - Accent 3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16" w:customStyle="1">
    <w:name w:val="Bordered &amp; Lined - Accent 4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17" w:customStyle="1">
    <w:name w:val="Bordered &amp; Lined - Accent 5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18" w:customStyle="1">
    <w:name w:val="Bordered &amp; Lined - Accent 6"/>
    <w:basedOn w:val="799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19" w:customStyle="1">
    <w:name w:val="Bordered"/>
    <w:basedOn w:val="79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20" w:customStyle="1">
    <w:name w:val="Bordered - Accent 1"/>
    <w:basedOn w:val="79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21" w:customStyle="1">
    <w:name w:val="Bordered - Accent 2"/>
    <w:basedOn w:val="79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922" w:customStyle="1">
    <w:name w:val="Bordered - Accent 3"/>
    <w:basedOn w:val="79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923" w:customStyle="1">
    <w:name w:val="Bordered - Accent 4"/>
    <w:basedOn w:val="79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924" w:customStyle="1">
    <w:name w:val="Bordered - Accent 5"/>
    <w:basedOn w:val="79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5" w:sz="12" w:space="0"/>
        </w:tcBorders>
      </w:tcPr>
    </w:tblStylePr>
  </w:style>
  <w:style w:type="table" w:styleId="925" w:customStyle="1">
    <w:name w:val="Bordered - Accent 6"/>
    <w:basedOn w:val="79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0AD47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hyperlink" Target="kodeks://link/d?nd=1311527645&amp;mark=0000000000000000000000000000000000000000000000000065E0IS" TargetMode="External"/><Relationship Id="rId14" Type="http://schemas.openxmlformats.org/officeDocument/2006/relationships/hyperlink" Target="kodeks://link/d?nd=1311527645&amp;mark=000000000000000000000000000000000000000000000000007EA0KH" TargetMode="External"/><Relationship Id="rId15" Type="http://schemas.openxmlformats.org/officeDocument/2006/relationships/hyperlink" Target="kodeks://link/d?nd=1311527645&amp;mark=000000000000000000000000000000000000000000000000007EA0KE" TargetMode="External"/><Relationship Id="rId16" Type="http://schemas.openxmlformats.org/officeDocument/2006/relationships/hyperlink" Target="kodeks://link/d?nd=1311527645&amp;mark=000000000000000000000000000000000000000000000000007EK0K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Бабахин Геннадий Валерьевич</dc:creator>
  <dc:description/>
  <dc:language>ru-RU</dc:language>
  <cp:lastModifiedBy>nikitina_nv</cp:lastModifiedBy>
  <cp:revision>24</cp:revision>
  <dcterms:created xsi:type="dcterms:W3CDTF">2024-06-10T04:46:00Z</dcterms:created>
  <dcterms:modified xsi:type="dcterms:W3CDTF">2026-07-09T00:18:50Z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